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sz w:val="24"/>
          <w:szCs w:val="24"/>
          <w:rtl w:val="0"/>
        </w:rPr>
        <w:t xml:space="preserve">Discussion Leader</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Book:</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Chapters: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Date of Discussion: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Develop a list of questions to discuss with your group. Use your knowledge of levels of questioning to create thought provoking questions that will lead to exploration of differing ideas and opinions. Help your group share reactions, elaborate on ideas and clarify for one another. You will lead the discussion.</w:t>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Discussion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8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Questions to revisit during next meeting: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*Adapted from 2010 The College Board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